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360" w:before="360" w:lineRule="auto"/>
        <w:ind w:right="864"/>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EE 492 WEEKLY REPORT 8</w:t>
        <w:tab/>
        <w:tab/>
        <w:tab/>
        <w:t xml:space="preserve">Date: 3/27/17-4/2/17</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pBdr/>
        <w:spacing w:after="360" w:lineRule="auto"/>
        <w:ind w:left="864" w:right="864" w:firstLine="0"/>
        <w:contextualSpacing w:val="0"/>
        <w:jc w:val="center"/>
        <w:rP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pBdr/>
        <w:spacing w:after="0" w:before="0" w:lineRule="auto"/>
        <w:contextualSpacing w:val="0"/>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we decide to place only one uv light on our device. and the testing group  borrowed LED screen, attempted to program so that device functions computerless, issues with powering both arduino and circuits. combined all code into a single Arduino code file setup for mix computer display values and powerbox power sensors.</w:t>
      </w:r>
    </w:p>
    <w:p w:rsidR="00000000" w:rsidDel="00000000" w:rsidP="00000000" w:rsidRDefault="00000000" w:rsidRPr="00000000">
      <w:pPr>
        <w:pBdr/>
        <w:spacing w:after="0" w:before="0" w:lineRule="auto"/>
        <w:contextualSpacing w:val="0"/>
        <w:rPr>
          <w:sz w:val="24"/>
          <w:szCs w:val="24"/>
        </w:rPr>
      </w:pPr>
      <w:r w:rsidDel="00000000" w:rsidR="00000000" w:rsidRPr="00000000">
        <w:rPr>
          <w:rtl w:val="0"/>
        </w:rPr>
      </w:r>
    </w:p>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Jacob Bernhard: testing the standing wave again</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Yuhao Fu: we decided to assemble the uv llight</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Parker Oltrogge:  borrowed LED screen, attempted to program so that device functions computerless, issues with powering both arduino and circuits. combined all code into a single Arduino code file setup for mix computer display values and powerbox power sensors.</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Subin Mao: test the turbidity of sample and got some results</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Xiyuan Wang:  Combine all the code into Arduino to display the result for PH sensor and turbidity sensor.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since the limitation of our device, we decide to place only one uv light on our device</w:t>
      </w:r>
    </w:p>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numPr>
          <w:ilvl w:val="0"/>
          <w:numId w:val="1"/>
        </w:numPr>
        <w:pBd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test</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21</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uv light</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21.5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Coding week</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5.5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24.5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pBdr/>
              <w:contextualSpacing w:val="0"/>
              <w:jc w:val="left"/>
              <w:rPr/>
            </w:pPr>
            <w:r w:rsidDel="00000000" w:rsidR="00000000" w:rsidRPr="00000000">
              <w:rPr>
                <w:rtl w:val="0"/>
              </w:rPr>
              <w:t xml:space="preserve">set up the pcb layer in software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24.5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sz w:val="24"/>
                <w:szCs w:val="24"/>
              </w:rPr>
            </w:pPr>
            <w:r w:rsidDel="00000000" w:rsidR="00000000" w:rsidRPr="00000000">
              <w:rPr>
                <w:sz w:val="24"/>
                <w:szCs w:val="24"/>
                <w:rtl w:val="0"/>
              </w:rPr>
              <w:t xml:space="preserve">Combine all the code into Arduino to display the result for PH sensor and turbidity sensor. </w:t>
            </w:r>
          </w:p>
          <w:p w:rsidR="00000000" w:rsidDel="00000000" w:rsidP="00000000" w:rsidRDefault="00000000" w:rsidRPr="00000000">
            <w:pPr>
              <w:pBdr/>
              <w:contextualSpacing w:val="0"/>
              <w:rPr/>
            </w:pP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20</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drill one hole on the top of the device, and try to connect bulb and device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18</w:t>
            </w:r>
          </w:p>
        </w:tc>
      </w:tr>
    </w:tbl>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bookmarkStart w:colFirst="0" w:colLast="0" w:name="_30j0zll" w:id="1"/>
      <w:bookmarkEnd w:id="1"/>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help with assembly model</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seal the model</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need to create PCB board so that we have before demo is due. Ph still requires work to fix our huge variance issues and no suitable design for positive PH values &lt;5 to arduino input pin have been designed. Need to finish work for LED screen to eliminate computer from design.</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Begin to create PCB board. </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our sealment is arrived. we will try to seal any probably gap to make sure water will not leak out.</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pBdr/>
        <w:spacing w:after="0" w:line="240" w:lineRule="auto"/>
        <w:contextualSpacing w:val="0"/>
        <w:rPr/>
      </w:pPr>
      <w:bookmarkStart w:colFirst="0" w:colLast="0" w:name="_3znysh7" w:id="3"/>
      <w:bookmarkEnd w:id="3"/>
      <w:r w:rsidDel="00000000" w:rsidR="00000000" w:rsidRPr="00000000">
        <w:rPr>
          <w:rtl w:val="0"/>
        </w:rPr>
        <w:tab/>
        <w:t xml:space="preserve">professor was with with his research project.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2">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3">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