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Rule="auto"/>
        <w:ind w:right="86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EE 492 WEEKLY REPORT 7</w:t>
        <w:tab/>
        <w:tab/>
        <w:tab/>
        <w:t xml:space="preserve">Date: 3/6/17-3/12/17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Group number: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Project title: Ultrasound Water Purification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Client &amp;/Advisor: Prof Bigelow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Team Members/Role: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Jacob Bernhard/Team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Yuhao Fu/Team Communication Leader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 xml:space="preserve">   Parker Oltrogge/Team Webmaster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              Subin Mao/Team Key Concept Holder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 xml:space="preserve">         Xiyuan Wang/Team member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 xml:space="preserve">Tao Wu/ Team member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</w:t>
      </w:r>
    </w:p>
    <w:p w:rsidR="00000000" w:rsidDel="00000000" w:rsidP="00000000" w:rsidRDefault="00000000" w:rsidRPr="00000000">
      <w:pPr>
        <w:pBdr/>
        <w:spacing w:after="0" w:lineRule="auto"/>
        <w:ind w:firstLine="720"/>
        <w:contextualSpacing w:val="0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we talked with professor Bigelow, and decided to add a uv light in our device, so search and bought the uv light bulb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ran the test but it didnt work.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Yuhao Fu: talked with professor Bigelow, and decided to add a uv light in our device, so search and bought the uv light bulb online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redesigned temperature sensor, got diminished fluctuation. tested all prototype boards hooked up to arduino at same time. wasted alot of time this week on temperature sensor.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Subin Mao:  made another testing block for turbidity testing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Xiyuan Wang:  Redesigned the thermometer part.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Tao Wu:  talked with professor Bigelow, and decided to add a uv light in our device, so search and bought the uv light bulb online</w:t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 </w:t>
      </w:r>
    </w:p>
    <w:tbl>
      <w:tblPr>
        <w:tblStyle w:val="Table1"/>
        <w:bidiVisual w:val="0"/>
        <w:tblW w:w="5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725"/>
        <w:gridCol w:w="1020"/>
        <w:gridCol w:w="1500"/>
        <w:tblGridChange w:id="0">
          <w:tblGrid>
            <w:gridCol w:w="1290"/>
            <w:gridCol w:w="1725"/>
            <w:gridCol w:w="1020"/>
            <w:gridCol w:w="15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 Bernhard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Yuhao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but equipment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Parker Oltrogge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redesigned temp sensor, full prototype test.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Subin Mao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 the turbidity of sample water in testing block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Xiyuan 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Redesigned the thermometer part.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buy the bulbs online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 run the test again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Yuhao Fu: get the uv light set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 reassess temperature purpose in overall circuit design and work to get PH sensor reading only positive outputs.(requirement of arduino analog pin)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Subin Mao: try to make pcb layout on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Xiyuan Wang: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Tao Wu: talked detail about how to place our uv light in our device and try to drill holes on our device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ab/>
        <w:t xml:space="preserve">Professor was busy with his own project but we did reported what we have done.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50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86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12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158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19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23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266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302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33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